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A95CFF">
      <w:pPr>
        <w:keepNext w:val="0"/>
        <w:keepLines w:val="0"/>
        <w:pageBreakBefore w:val="0"/>
        <w:kinsoku/>
        <w:wordWrap/>
        <w:overflowPunct/>
        <w:topLinePunct w:val="0"/>
        <w:autoSpaceDE/>
        <w:autoSpaceDN/>
        <w:bidi w:val="0"/>
        <w:snapToGrid/>
        <w:spacing w:line="560" w:lineRule="exact"/>
        <w:jc w:val="center"/>
        <w:textAlignment w:val="auto"/>
        <w:rPr>
          <w:rStyle w:val="9"/>
          <w:rFonts w:ascii="Times New Roman" w:hAnsi="Times New Roman" w:eastAsia="方正小标宋_GBK" w:cs="Times New Roman"/>
          <w:b w:val="0"/>
          <w:bCs/>
          <w:color w:val="000000" w:themeColor="text1"/>
          <w:sz w:val="44"/>
          <w:szCs w:val="44"/>
          <w14:textFill>
            <w14:solidFill>
              <w14:schemeClr w14:val="tx1"/>
            </w14:solidFill>
          </w14:textFill>
        </w:rPr>
      </w:pPr>
      <w:r>
        <w:rPr>
          <w:rStyle w:val="9"/>
          <w:rFonts w:ascii="Times New Roman" w:hAnsi="Times New Roman" w:eastAsia="方正小标宋_GBK" w:cs="Times New Roman"/>
          <w:b w:val="0"/>
          <w:bCs/>
          <w:color w:val="000000" w:themeColor="text1"/>
          <w:sz w:val="44"/>
          <w:szCs w:val="44"/>
          <w14:textFill>
            <w14:solidFill>
              <w14:schemeClr w14:val="tx1"/>
            </w14:solidFill>
          </w14:textFill>
        </w:rPr>
        <w:t>西双版纳职业技术学院实验实训耗材管理办法</w:t>
      </w:r>
    </w:p>
    <w:p w14:paraId="338E368F">
      <w:pPr>
        <w:keepNext w:val="0"/>
        <w:keepLines w:val="0"/>
        <w:pageBreakBefore w:val="0"/>
        <w:kinsoku/>
        <w:wordWrap/>
        <w:overflowPunct/>
        <w:topLinePunct w:val="0"/>
        <w:autoSpaceDE/>
        <w:autoSpaceDN/>
        <w:bidi w:val="0"/>
        <w:snapToGrid/>
        <w:spacing w:line="560" w:lineRule="exact"/>
        <w:jc w:val="center"/>
        <w:textAlignment w:val="auto"/>
        <w:rPr>
          <w:rStyle w:val="9"/>
          <w:rFonts w:ascii="Times New Roman" w:hAnsi="Times New Roman" w:eastAsia="方正小标宋_GBK" w:cs="Times New Roman"/>
          <w:b w:val="0"/>
          <w:bCs/>
          <w:color w:val="000000" w:themeColor="text1"/>
          <w:sz w:val="44"/>
          <w:szCs w:val="44"/>
          <w14:textFill>
            <w14:solidFill>
              <w14:schemeClr w14:val="tx1"/>
            </w14:solidFill>
          </w14:textFill>
        </w:rPr>
      </w:pPr>
      <w:r>
        <w:rPr>
          <w:rStyle w:val="9"/>
          <w:rFonts w:hint="eastAsia" w:ascii="Times New Roman" w:hAnsi="Times New Roman" w:eastAsia="方正小标宋_GBK" w:cs="Times New Roman"/>
          <w:b w:val="0"/>
          <w:bCs/>
          <w:color w:val="000000" w:themeColor="text1"/>
          <w:sz w:val="44"/>
          <w:szCs w:val="44"/>
          <w14:textFill>
            <w14:solidFill>
              <w14:schemeClr w14:val="tx1"/>
            </w14:solidFill>
          </w14:textFill>
        </w:rPr>
        <w:t>（试</w:t>
      </w:r>
      <w:r>
        <w:rPr>
          <w:rStyle w:val="9"/>
          <w:rFonts w:ascii="Times New Roman" w:hAnsi="Times New Roman" w:eastAsia="方正小标宋_GBK" w:cs="Times New Roman"/>
          <w:b w:val="0"/>
          <w:bCs/>
          <w:color w:val="000000" w:themeColor="text1"/>
          <w:sz w:val="44"/>
          <w:szCs w:val="44"/>
          <w14:textFill>
            <w14:solidFill>
              <w14:schemeClr w14:val="tx1"/>
            </w14:solidFill>
          </w14:textFill>
        </w:rPr>
        <w:t>行）</w:t>
      </w:r>
    </w:p>
    <w:p w14:paraId="6E83CA3B">
      <w:pPr>
        <w:keepNext w:val="0"/>
        <w:keepLines w:val="0"/>
        <w:pageBreakBefore w:val="0"/>
        <w:kinsoku/>
        <w:wordWrap/>
        <w:overflowPunct/>
        <w:topLinePunct w:val="0"/>
        <w:autoSpaceDE/>
        <w:autoSpaceDN/>
        <w:bidi w:val="0"/>
        <w:snapToGrid/>
        <w:spacing w:line="560" w:lineRule="exact"/>
        <w:jc w:val="center"/>
        <w:textAlignment w:val="auto"/>
        <w:rPr>
          <w:rFonts w:hint="eastAsia" w:ascii="Times New Roman" w:hAnsi="Times New Roman" w:eastAsia="方正小标宋_GBK" w:cs="Times New Roman"/>
          <w:b w:val="0"/>
          <w:bCs/>
          <w:color w:val="000000" w:themeColor="text1"/>
          <w:sz w:val="44"/>
          <w:szCs w:val="44"/>
          <w14:textFill>
            <w14:solidFill>
              <w14:schemeClr w14:val="tx1"/>
            </w14:solidFill>
          </w14:textFill>
        </w:rPr>
      </w:pPr>
    </w:p>
    <w:p w14:paraId="68EF56DD">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为规范西双版纳职业技术学院（以下简称“学院”）实验实训耗材的管理，科学合理使用实验实训耗材，提高实验实训耗材的使用效能，保障实验实训教学和科研工作的有序进行，根据学院统一领导、分工管理、使用部门负责，合理调配、节约使用的原则，特制定本办法。</w:t>
      </w:r>
    </w:p>
    <w:p w14:paraId="75DD6189">
      <w:pPr>
        <w:keepNext w:val="0"/>
        <w:keepLines w:val="0"/>
        <w:pageBreakBefore w:val="0"/>
        <w:kinsoku/>
        <w:wordWrap/>
        <w:overflowPunct/>
        <w:topLinePunct w:val="0"/>
        <w:autoSpaceDE/>
        <w:autoSpaceDN/>
        <w:bidi w:val="0"/>
        <w:snapToGrid/>
        <w:spacing w:line="560" w:lineRule="exact"/>
        <w:ind w:firstLine="640" w:firstLineChars="200"/>
        <w:jc w:val="left"/>
        <w:textAlignment w:val="auto"/>
        <w:rPr>
          <w:rStyle w:val="9"/>
          <w:rFonts w:ascii="方正黑体_GBK" w:hAnsi="Times New Roman" w:eastAsia="方正黑体_GBK" w:cs="Times New Roman"/>
          <w:b w:val="0"/>
          <w:bCs/>
          <w:color w:val="000000" w:themeColor="text1"/>
          <w:sz w:val="32"/>
          <w:szCs w:val="32"/>
          <w:shd w:val="clear" w:color="auto" w:fill="FDFDFE"/>
          <w14:textFill>
            <w14:solidFill>
              <w14:schemeClr w14:val="tx1"/>
            </w14:solidFill>
          </w14:textFill>
        </w:rPr>
      </w:pPr>
      <w:r>
        <w:rPr>
          <w:rStyle w:val="9"/>
          <w:rFonts w:hint="eastAsia" w:ascii="方正黑体_GBK" w:hAnsi="Times New Roman" w:eastAsia="方正黑体_GBK" w:cs="Times New Roman"/>
          <w:b w:val="0"/>
          <w:bCs/>
          <w:color w:val="000000" w:themeColor="text1"/>
          <w:sz w:val="32"/>
          <w:szCs w:val="32"/>
          <w:shd w:val="clear" w:color="auto" w:fill="FDFDFE"/>
          <w14:textFill>
            <w14:solidFill>
              <w14:schemeClr w14:val="tx1"/>
            </w14:solidFill>
          </w14:textFill>
        </w:rPr>
        <w:t>一、实验实训耗材的范围与分类</w:t>
      </w:r>
    </w:p>
    <w:p w14:paraId="17F73932">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ascii="方正楷体_GBK" w:hAnsi="Times New Roman" w:eastAsia="方正楷体_GBK" w:cs="Times New Roman"/>
          <w:b w:val="0"/>
          <w:bCs/>
          <w:color w:val="000000" w:themeColor="text1"/>
          <w:sz w:val="32"/>
          <w:szCs w:val="32"/>
          <w14:textFill>
            <w14:solidFill>
              <w14:schemeClr w14:val="tx1"/>
            </w14:solidFill>
          </w14:textFill>
        </w:rPr>
      </w:pPr>
      <w:r>
        <w:rPr>
          <w:rFonts w:hint="eastAsia" w:ascii="方正楷体_GBK" w:hAnsi="Times New Roman" w:eastAsia="方正楷体_GBK" w:cs="Times New Roman"/>
          <w:b w:val="0"/>
          <w:bCs/>
          <w:color w:val="000000" w:themeColor="text1"/>
          <w:sz w:val="32"/>
          <w:szCs w:val="32"/>
          <w14:textFill>
            <w14:solidFill>
              <w14:schemeClr w14:val="tx1"/>
            </w14:solidFill>
          </w14:textFill>
        </w:rPr>
        <w:t>（一）实验实训耗材的范围</w:t>
      </w:r>
    </w:p>
    <w:p w14:paraId="49859767">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本办法所称的实验实训耗材，是指在实验实训教学、校内职业能力竞赛、科研等方面使用的消耗品、易耗品、低价值不易存储管理的零散器械及辅助材料等。</w:t>
      </w:r>
    </w:p>
    <w:p w14:paraId="4CE97F26">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ascii="方正楷体_GBK" w:hAnsi="Times New Roman" w:eastAsia="方正楷体_GBK" w:cs="Times New Roman"/>
          <w:b w:val="0"/>
          <w:bCs/>
          <w:color w:val="000000" w:themeColor="text1"/>
          <w:sz w:val="32"/>
          <w:szCs w:val="32"/>
          <w14:textFill>
            <w14:solidFill>
              <w14:schemeClr w14:val="tx1"/>
            </w14:solidFill>
          </w14:textFill>
        </w:rPr>
      </w:pPr>
      <w:r>
        <w:rPr>
          <w:rFonts w:ascii="方正楷体_GBK" w:hAnsi="Times New Roman" w:eastAsia="方正楷体_GBK" w:cs="Times New Roman"/>
          <w:b w:val="0"/>
          <w:bCs/>
          <w:color w:val="000000" w:themeColor="text1"/>
          <w:sz w:val="32"/>
          <w:szCs w:val="32"/>
          <w14:textFill>
            <w14:solidFill>
              <w14:schemeClr w14:val="tx1"/>
            </w14:solidFill>
          </w14:textFill>
        </w:rPr>
        <w:t>（二）实验实训耗材的分类</w:t>
      </w:r>
    </w:p>
    <w:p w14:paraId="2202C399">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1.材料。金属或非金属的各种一次性原材料、不可再利用辅助材料，如板材、线材、画材、燃料、饲料、药品、造型辅材和各种试剂，如溶剂、试剂等。</w:t>
      </w:r>
    </w:p>
    <w:p w14:paraId="656546DE">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2.低值易耗品。凡在使用过程中易于损耗，既不属于固定资产，又不属于材料和低值耐用品范围的物品，如电子元器件、电脑周边零配件等，各种易耗型用具、用品，如一次性使用的注射针、棉签等，实验实训教学过程中易耗的玻璃器皿、各种元件、零配件等。</w:t>
      </w:r>
    </w:p>
    <w:p w14:paraId="664413F7">
      <w:pPr>
        <w:pStyle w:val="2"/>
        <w:keepNext w:val="0"/>
        <w:keepLines w:val="0"/>
        <w:pageBreakBefore w:val="0"/>
        <w:widowControl/>
        <w:shd w:val="clear" w:color="auto" w:fill="FDFDFE"/>
        <w:kinsoku/>
        <w:wordWrap/>
        <w:overflowPunct/>
        <w:topLinePunct w:val="0"/>
        <w:autoSpaceDE/>
        <w:autoSpaceDN/>
        <w:bidi w:val="0"/>
        <w:snapToGrid/>
        <w:spacing w:beforeAutospacing="0" w:afterAutospacing="0" w:line="560" w:lineRule="exact"/>
        <w:ind w:firstLine="640" w:firstLineChars="200"/>
        <w:textAlignment w:val="auto"/>
        <w:rPr>
          <w:rFonts w:hint="default" w:ascii="Times New Roman" w:hAnsi="Times New Roman" w:eastAsia="方正仿宋_GBK" w:cs="Times New Roman"/>
          <w:b w:val="0"/>
          <w:bCs/>
          <w:color w:val="000000" w:themeColor="text1"/>
          <w:kern w:val="2"/>
          <w:sz w:val="32"/>
          <w:szCs w:val="32"/>
          <w:lang w:bidi="ar-SA"/>
          <w14:textFill>
            <w14:solidFill>
              <w14:schemeClr w14:val="tx1"/>
            </w14:solidFill>
          </w14:textFill>
        </w:rPr>
      </w:pPr>
      <w:r>
        <w:rPr>
          <w:rFonts w:hint="default" w:ascii="Times New Roman" w:hAnsi="Times New Roman" w:eastAsia="方正仿宋_GBK" w:cs="Times New Roman"/>
          <w:b w:val="0"/>
          <w:bCs/>
          <w:color w:val="000000" w:themeColor="text1"/>
          <w:kern w:val="2"/>
          <w:sz w:val="32"/>
          <w:szCs w:val="32"/>
          <w:lang w:bidi="ar-SA"/>
          <w14:textFill>
            <w14:solidFill>
              <w14:schemeClr w14:val="tx1"/>
            </w14:solidFill>
          </w14:textFill>
        </w:rPr>
        <w:t>3.其它资产管理规定不属于固定资产的低值耐用品应列入实验实训耗材或低值易耗品的物品类。</w:t>
      </w:r>
    </w:p>
    <w:p w14:paraId="14ED1146">
      <w:pPr>
        <w:keepNext w:val="0"/>
        <w:keepLines w:val="0"/>
        <w:pageBreakBefore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4.办公用品、用具及耗材和软件类不属于实验实训耗材范围，不纳入本办法管理。</w:t>
      </w:r>
    </w:p>
    <w:p w14:paraId="2A50BA61">
      <w:pPr>
        <w:keepNext w:val="0"/>
        <w:keepLines w:val="0"/>
        <w:pageBreakBefore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5.学院承办的州级及以上赛事活动所需耗材按照项目专项经费管理进行，不纳入本办法。赛事活动结束后结余耗材应及时纳入相关实验实训室进行规范管理。</w:t>
      </w:r>
    </w:p>
    <w:p w14:paraId="56E4973A">
      <w:pPr>
        <w:keepNext w:val="0"/>
        <w:keepLines w:val="0"/>
        <w:pageBreakBefore w:val="0"/>
        <w:kinsoku/>
        <w:wordWrap/>
        <w:overflowPunct/>
        <w:topLinePunct w:val="0"/>
        <w:autoSpaceDE/>
        <w:autoSpaceDN/>
        <w:bidi w:val="0"/>
        <w:snapToGrid/>
        <w:spacing w:line="560" w:lineRule="exact"/>
        <w:ind w:firstLine="640" w:firstLineChars="200"/>
        <w:jc w:val="left"/>
        <w:textAlignment w:val="auto"/>
        <w:rPr>
          <w:rStyle w:val="9"/>
          <w:rFonts w:ascii="方正黑体_GBK" w:hAnsi="Times New Roman" w:eastAsia="方正黑体_GBK" w:cs="Times New Roman"/>
          <w:b w:val="0"/>
          <w:bCs/>
          <w:color w:val="000000" w:themeColor="text1"/>
          <w:sz w:val="32"/>
          <w:szCs w:val="32"/>
          <w:shd w:val="clear" w:color="auto" w:fill="FDFDFE"/>
          <w14:textFill>
            <w14:solidFill>
              <w14:schemeClr w14:val="tx1"/>
            </w14:solidFill>
          </w14:textFill>
        </w:rPr>
      </w:pPr>
      <w:r>
        <w:rPr>
          <w:rStyle w:val="9"/>
          <w:rFonts w:ascii="方正黑体_GBK" w:hAnsi="Times New Roman" w:eastAsia="方正黑体_GBK" w:cs="Times New Roman"/>
          <w:b w:val="0"/>
          <w:bCs/>
          <w:color w:val="000000" w:themeColor="text1"/>
          <w:sz w:val="32"/>
          <w:szCs w:val="32"/>
          <w:shd w:val="clear" w:color="auto" w:fill="FDFDFE"/>
          <w14:textFill>
            <w14:solidFill>
              <w14:schemeClr w14:val="tx1"/>
            </w14:solidFill>
          </w14:textFill>
        </w:rPr>
        <w:t>二、实验实训耗材资金的预算与采购</w:t>
      </w:r>
    </w:p>
    <w:p w14:paraId="1B791569">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ascii="方正楷体_GBK" w:hAnsi="Times New Roman" w:eastAsia="方正楷体_GBK" w:cs="Times New Roman"/>
          <w:b w:val="0"/>
          <w:bCs/>
          <w:color w:val="000000" w:themeColor="text1"/>
          <w:sz w:val="32"/>
          <w:szCs w:val="32"/>
          <w14:textFill>
            <w14:solidFill>
              <w14:schemeClr w14:val="tx1"/>
            </w14:solidFill>
          </w14:textFill>
        </w:rPr>
      </w:pPr>
      <w:r>
        <w:rPr>
          <w:rFonts w:ascii="方正楷体_GBK" w:hAnsi="Times New Roman" w:eastAsia="方正楷体_GBK" w:cs="Times New Roman"/>
          <w:b w:val="0"/>
          <w:bCs/>
          <w:color w:val="000000" w:themeColor="text1"/>
          <w:sz w:val="32"/>
          <w:szCs w:val="32"/>
          <w14:textFill>
            <w14:solidFill>
              <w14:schemeClr w14:val="tx1"/>
            </w14:solidFill>
          </w14:textFill>
        </w:rPr>
        <w:t>（一）采购预算申报</w:t>
      </w:r>
    </w:p>
    <w:p w14:paraId="0E34BEA4">
      <w:pPr>
        <w:keepNext w:val="0"/>
        <w:keepLines w:val="0"/>
        <w:pageBreakBefore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各二级学院（部、中心）须要于自然年末，根据学院财务纪律规定，按照本部门专业实验实训课程（项目）计划，填写下一年度的实验实训耗材采购计划及资金预算，并报实验实训中心审核汇总，统一提交学院院长办公会。院长办公会通过后的实验实训耗材采购预算作为各部门当年度实验实训耗材采购依据。</w:t>
      </w:r>
    </w:p>
    <w:p w14:paraId="65590D90">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ascii="方正楷体_GBK" w:hAnsi="Times New Roman" w:eastAsia="方正楷体_GBK" w:cs="Times New Roman"/>
          <w:b w:val="0"/>
          <w:bCs/>
          <w:color w:val="000000" w:themeColor="text1"/>
          <w:sz w:val="32"/>
          <w:szCs w:val="32"/>
          <w14:textFill>
            <w14:solidFill>
              <w14:schemeClr w14:val="tx1"/>
            </w14:solidFill>
          </w14:textFill>
        </w:rPr>
      </w:pPr>
      <w:r>
        <w:rPr>
          <w:rFonts w:ascii="方正楷体_GBK" w:hAnsi="Times New Roman" w:eastAsia="方正楷体_GBK" w:cs="Times New Roman"/>
          <w:b w:val="0"/>
          <w:bCs/>
          <w:color w:val="000000" w:themeColor="text1"/>
          <w:sz w:val="32"/>
          <w:szCs w:val="32"/>
          <w14:textFill>
            <w14:solidFill>
              <w14:schemeClr w14:val="tx1"/>
            </w14:solidFill>
          </w14:textFill>
        </w:rPr>
        <w:t>（二）采购计划</w:t>
      </w:r>
    </w:p>
    <w:p w14:paraId="571D389B">
      <w:pPr>
        <w:keepNext w:val="0"/>
        <w:keepLines w:val="0"/>
        <w:pageBreakBefore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各二级学院（部、中心）应制定科学规范的实验实训课程（项目）计划。各授课教师应根据课程实验实训课程（项目）开展计划，在本部门预算内按照实际需求制定课程（项目）耗材采购计划，由本部门实验实训管理员汇总形成部门采购计划，计划内含有危险品的应附相应管理方案。</w:t>
      </w:r>
      <w:r>
        <w:rPr>
          <w:rFonts w:hint="eastAsia" w:ascii="Times New Roman" w:hAnsi="Times New Roman" w:eastAsia="方正仿宋_GBK" w:cs="Times New Roman"/>
          <w:b w:val="0"/>
          <w:bCs/>
          <w:color w:val="000000" w:themeColor="text1"/>
          <w:sz w:val="32"/>
          <w:szCs w:val="32"/>
          <w14:textFill>
            <w14:solidFill>
              <w14:schemeClr w14:val="tx1"/>
            </w14:solidFill>
          </w14:textFill>
        </w:rPr>
        <w:t>经各专业组</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/教研组</w:t>
      </w:r>
      <w:r>
        <w:rPr>
          <w:rFonts w:hint="eastAsia" w:ascii="Times New Roman" w:hAnsi="Times New Roman" w:eastAsia="方正仿宋_GBK" w:cs="Times New Roman"/>
          <w:b w:val="0"/>
          <w:bCs/>
          <w:color w:val="000000" w:themeColor="text1"/>
          <w:sz w:val="32"/>
          <w:szCs w:val="32"/>
          <w14:textFill>
            <w14:solidFill>
              <w14:schemeClr w14:val="tx1"/>
            </w14:solidFill>
          </w14:textFill>
        </w:rPr>
        <w:t>提出采购申请（附件5），二级学院（部、中心）经党政联席会同意后汇总形成以部门为单位的采购申请（附件</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6</w:t>
      </w:r>
      <w:r>
        <w:rPr>
          <w:rFonts w:hint="eastAsia" w:ascii="Times New Roman" w:hAnsi="Times New Roman" w:eastAsia="方正仿宋_GBK" w:cs="Times New Roman"/>
          <w:b w:val="0"/>
          <w:bCs/>
          <w:color w:val="000000" w:themeColor="text1"/>
          <w:sz w:val="32"/>
          <w:szCs w:val="32"/>
          <w14:textFill>
            <w14:solidFill>
              <w14:schemeClr w14:val="tx1"/>
            </w14:solidFill>
          </w14:textFill>
        </w:rPr>
        <w:t>），按要求备好相关材料并签字盖章后提交至实验实训中心审核，实验实训中心审核并由实验实训中心负责人签字后提交使用部门分管副院长审批，采购计划金额达到院长办公会议和学院党委会议事限额的，应提交院长办公会及党委会议研究。</w:t>
      </w:r>
    </w:p>
    <w:p w14:paraId="7DD9188E">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ascii="方正楷体_GBK" w:hAnsi="Times New Roman" w:eastAsia="方正楷体_GBK" w:cs="Times New Roman"/>
          <w:b w:val="0"/>
          <w:bCs/>
          <w:color w:val="000000" w:themeColor="text1"/>
          <w:sz w:val="32"/>
          <w:szCs w:val="32"/>
          <w14:textFill>
            <w14:solidFill>
              <w14:schemeClr w14:val="tx1"/>
            </w14:solidFill>
          </w14:textFill>
        </w:rPr>
      </w:pPr>
      <w:r>
        <w:rPr>
          <w:rFonts w:ascii="方正楷体_GBK" w:hAnsi="Times New Roman" w:eastAsia="方正楷体_GBK" w:cs="Times New Roman"/>
          <w:b w:val="0"/>
          <w:bCs/>
          <w:color w:val="000000" w:themeColor="text1"/>
          <w:sz w:val="32"/>
          <w:szCs w:val="32"/>
          <w14:textFill>
            <w14:solidFill>
              <w14:schemeClr w14:val="tx1"/>
            </w14:solidFill>
          </w14:textFill>
        </w:rPr>
        <w:t>（三）采购实施</w:t>
      </w:r>
    </w:p>
    <w:p w14:paraId="2927C9F5">
      <w:pPr>
        <w:keepNext w:val="0"/>
        <w:keepLines w:val="0"/>
        <w:pageBreakBefore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采购计划经分管副院长审批通过或院长办公会研究通过后，由资产管理科依据《西双版纳职业技术学院采购管理实施办法（试行）》进行统一采购。不能统一采购的，由二级学院（部、中心）根据国家相关管理规定通过合法、正规渠道进行采购。危险化学品采购应按照国家相关规定通过正规渠道采购。采购完成后应将采购清单、合同、发票复印或扫描，报实验实训中心备案。</w:t>
      </w:r>
    </w:p>
    <w:p w14:paraId="673513FA">
      <w:pPr>
        <w:keepNext w:val="0"/>
        <w:keepLines w:val="0"/>
        <w:pageBreakBefore w:val="0"/>
        <w:kinsoku/>
        <w:wordWrap/>
        <w:overflowPunct/>
        <w:topLinePunct w:val="0"/>
        <w:autoSpaceDE/>
        <w:autoSpaceDN/>
        <w:bidi w:val="0"/>
        <w:snapToGrid/>
        <w:spacing w:line="560" w:lineRule="exact"/>
        <w:ind w:firstLine="640" w:firstLineChars="200"/>
        <w:jc w:val="left"/>
        <w:textAlignment w:val="auto"/>
        <w:rPr>
          <w:rStyle w:val="9"/>
          <w:rFonts w:ascii="方正黑体_GBK" w:hAnsi="Times New Roman" w:eastAsia="方正黑体_GBK" w:cs="Times New Roman"/>
          <w:b w:val="0"/>
          <w:bCs/>
          <w:color w:val="000000" w:themeColor="text1"/>
          <w:sz w:val="32"/>
          <w:szCs w:val="32"/>
          <w:shd w:val="clear" w:color="auto" w:fill="FDFDFE"/>
          <w14:textFill>
            <w14:solidFill>
              <w14:schemeClr w14:val="tx1"/>
            </w14:solidFill>
          </w14:textFill>
        </w:rPr>
      </w:pPr>
      <w:r>
        <w:rPr>
          <w:rStyle w:val="9"/>
          <w:rFonts w:ascii="方正黑体_GBK" w:hAnsi="Times New Roman" w:eastAsia="方正黑体_GBK" w:cs="Times New Roman"/>
          <w:b w:val="0"/>
          <w:bCs/>
          <w:color w:val="000000" w:themeColor="text1"/>
          <w:sz w:val="32"/>
          <w:szCs w:val="32"/>
          <w:shd w:val="clear" w:color="auto" w:fill="FDFDFE"/>
          <w14:textFill>
            <w14:solidFill>
              <w14:schemeClr w14:val="tx1"/>
            </w14:solidFill>
          </w14:textFill>
        </w:rPr>
        <w:t>三、实验实训耗材的管理</w:t>
      </w:r>
    </w:p>
    <w:p w14:paraId="1A40DDCF">
      <w:pPr>
        <w:keepNext w:val="0"/>
        <w:keepLines w:val="0"/>
        <w:pageBreakBefore w:val="0"/>
        <w:kinsoku/>
        <w:wordWrap/>
        <w:overflowPunct/>
        <w:topLinePunct w:val="0"/>
        <w:autoSpaceDE/>
        <w:autoSpaceDN/>
        <w:bidi w:val="0"/>
        <w:adjustRightInd w:val="0"/>
        <w:snapToGrid/>
        <w:spacing w:line="560" w:lineRule="exact"/>
        <w:ind w:firstLine="640" w:firstLineChars="200"/>
        <w:textAlignment w:val="auto"/>
        <w:rPr>
          <w:rFonts w:ascii="方正楷体_GBK" w:hAnsi="Times New Roman" w:eastAsia="方正楷体_GBK" w:cs="Times New Roman"/>
          <w:b w:val="0"/>
          <w:bCs/>
          <w:color w:val="000000" w:themeColor="text1"/>
          <w:sz w:val="32"/>
          <w:szCs w:val="32"/>
          <w14:textFill>
            <w14:solidFill>
              <w14:schemeClr w14:val="tx1"/>
            </w14:solidFill>
          </w14:textFill>
        </w:rPr>
      </w:pPr>
      <w:r>
        <w:rPr>
          <w:rFonts w:ascii="方正楷体_GBK" w:hAnsi="Times New Roman" w:eastAsia="方正楷体_GBK" w:cs="Times New Roman"/>
          <w:b w:val="0"/>
          <w:bCs/>
          <w:color w:val="000000" w:themeColor="text1"/>
          <w:sz w:val="32"/>
          <w:szCs w:val="32"/>
          <w14:textFill>
            <w14:solidFill>
              <w14:schemeClr w14:val="tx1"/>
            </w14:solidFill>
          </w14:textFill>
        </w:rPr>
        <w:t>（一）验收入库</w:t>
      </w:r>
    </w:p>
    <w:p w14:paraId="0FFC5963">
      <w:pPr>
        <w:keepNext w:val="0"/>
        <w:keepLines w:val="0"/>
        <w:pageBreakBefore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1.验收。耗材采购交付时，申报二级学院（部、中心）应与资产管理科相关管理人员共同进行验收。验收人员应严格按照采购清单的内容，认真核对耗材的名称、数量、规格、质量、包装、外观等是否相符。验收合格后由验收人员签字确认，验收完成后应及时登记入库。验收时，如发现耗材存在质量问题或不符合</w:t>
      </w:r>
      <w:r>
        <w:rPr>
          <w:rFonts w:hint="eastAsia" w:ascii="Times New Roman" w:hAnsi="Times New Roman" w:eastAsia="方正仿宋_GBK" w:cs="Times New Roman"/>
          <w:b w:val="0"/>
          <w:bCs/>
          <w:color w:val="000000" w:themeColor="text1"/>
          <w:sz w:val="32"/>
          <w:szCs w:val="32"/>
          <w14:textFill>
            <w14:solidFill>
              <w14:schemeClr w14:val="tx1"/>
            </w14:solidFill>
          </w14:textFill>
        </w:rPr>
        <w:t>采</w:t>
      </w:r>
      <w:r>
        <w:rPr>
          <w:rFonts w:ascii="Times New Roman" w:hAnsi="Times New Roman" w:eastAsia="方正仿宋_GBK" w:cs="Times New Roman"/>
          <w:b w:val="0"/>
          <w:bCs/>
          <w:color w:val="000000" w:themeColor="text1"/>
          <w:sz w:val="32"/>
          <w:szCs w:val="32"/>
          <w14:textFill>
            <w14:solidFill>
              <w14:schemeClr w14:val="tx1"/>
            </w14:solidFill>
          </w14:textFill>
        </w:rPr>
        <w:t>购要求，应及时与供应商联系办理退、换、赔、补手续。</w:t>
      </w:r>
    </w:p>
    <w:p w14:paraId="6EFE893A">
      <w:pPr>
        <w:keepNext w:val="0"/>
        <w:keepLines w:val="0"/>
        <w:pageBreakBefore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2.入库。验收合格的耗材由各二级学院（部、中心）实验实训管理员按照规定的程序和要求进行入库登记，并对入库的耗材分类、分区存放，建立详细的耗材台账（包括耗材的名称、规格、数量等信息，附件1）。</w:t>
      </w:r>
    </w:p>
    <w:p w14:paraId="5B9FB5CA">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3.库存管理。各二级学院（部、中心）实验实训管理员应根据耗材台账定期清查库存耗材的余量、使用情况、保存期限等情况。对于过期、损坏或无法使用的耗材，应及时报废处理或清理出库，避免占用库存空间。危险化学品应在危险品存储间实行专柜管理，严格落实双人双锁制度。</w:t>
      </w:r>
    </w:p>
    <w:p w14:paraId="445BE50E">
      <w:pPr>
        <w:keepNext w:val="0"/>
        <w:keepLines w:val="0"/>
        <w:pageBreakBefore w:val="0"/>
        <w:widowControl w:val="0"/>
        <w:kinsoku/>
        <w:wordWrap/>
        <w:overflowPunct/>
        <w:topLinePunct w:val="0"/>
        <w:autoSpaceDE/>
        <w:autoSpaceDN/>
        <w:bidi w:val="0"/>
        <w:adjustRightInd w:val="0"/>
        <w:snapToGrid/>
        <w:spacing w:line="560" w:lineRule="exact"/>
        <w:ind w:firstLine="640" w:firstLineChars="200"/>
        <w:textAlignment w:val="auto"/>
        <w:rPr>
          <w:rFonts w:ascii="方正楷体_GBK" w:eastAsia="方正楷体_GBK"/>
          <w:b w:val="0"/>
          <w:bCs/>
          <w:color w:val="000000" w:themeColor="text1"/>
          <w:sz w:val="32"/>
          <w:szCs w:val="32"/>
          <w14:textFill>
            <w14:solidFill>
              <w14:schemeClr w14:val="tx1"/>
            </w14:solidFill>
          </w14:textFill>
        </w:rPr>
      </w:pPr>
      <w:r>
        <w:rPr>
          <w:rFonts w:hint="eastAsia" w:ascii="方正楷体_GBK" w:eastAsia="方正楷体_GBK"/>
          <w:b w:val="0"/>
          <w:bCs/>
          <w:color w:val="000000" w:themeColor="text1"/>
          <w:sz w:val="32"/>
          <w:szCs w:val="32"/>
          <w14:textFill>
            <w14:solidFill>
              <w14:schemeClr w14:val="tx1"/>
            </w14:solidFill>
          </w14:textFill>
        </w:rPr>
        <w:t>（二）使用管理</w:t>
      </w:r>
    </w:p>
    <w:p w14:paraId="49ADC5B2">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1.领用。教师在领用实验实训耗材时，应严格执行领用登记制度。实验实训管理员在确认领用登记（附件2）完成后，按照登记记录进行耗材出库。</w:t>
      </w:r>
    </w:p>
    <w:p w14:paraId="62A5AC41">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2.耗材使用。实验实训室在使用耗材时，师生应遵循相关操作规范和实验室安全守则，确保耗材的正确使用和实验安全，并认真填写耗材使用记录（附件3）。使用危险化学品实验实训项目，严禁学生单独开展。耗材的使用应遵循节约的原则，严格按照操作规程使用，避免浪费，未使用完的耗材应及时归库。不能归库的耗材应科学处置，严禁随意处置危险品。</w:t>
      </w:r>
    </w:p>
    <w:p w14:paraId="60058469">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3.废弃物管理。使用后的耗材应根据其特性进行分类处理，对于可回收利用的耗材应进行回收，对于有害耗材应按照实验实训室废弃物管理办法进行处理，严禁随意处置。</w:t>
      </w:r>
    </w:p>
    <w:p w14:paraId="300D48BE">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4.对于易制毒、易制爆等特殊耗材，应严格控制领用数量，使用人员必须做好使用记录，实验实训管理员应及时检查核实，做到两账相符。</w:t>
      </w:r>
    </w:p>
    <w:p w14:paraId="01114205">
      <w:pPr>
        <w:keepNext w:val="0"/>
        <w:keepLines w:val="0"/>
        <w:pageBreakBefore w:val="0"/>
        <w:widowControl w:val="0"/>
        <w:kinsoku/>
        <w:wordWrap/>
        <w:overflowPunct/>
        <w:topLinePunct w:val="0"/>
        <w:autoSpaceDE/>
        <w:autoSpaceDN/>
        <w:bidi w:val="0"/>
        <w:snapToGrid/>
        <w:spacing w:line="560" w:lineRule="exact"/>
        <w:ind w:firstLine="640" w:firstLineChars="200"/>
        <w:jc w:val="left"/>
        <w:textAlignment w:val="auto"/>
        <w:rPr>
          <w:rStyle w:val="9"/>
          <w:rFonts w:ascii="方正楷体_GBK" w:hAnsi="Times New Roman" w:eastAsia="方正楷体_GBK" w:cs="Times New Roman"/>
          <w:b w:val="0"/>
          <w:bCs/>
          <w:color w:val="000000" w:themeColor="text1"/>
          <w:sz w:val="32"/>
          <w:szCs w:val="32"/>
          <w:shd w:val="clear" w:color="auto" w:fill="FDFDFE"/>
          <w14:textFill>
            <w14:solidFill>
              <w14:schemeClr w14:val="tx1"/>
            </w14:solidFill>
          </w14:textFill>
        </w:rPr>
      </w:pPr>
      <w:r>
        <w:rPr>
          <w:rStyle w:val="9"/>
          <w:rFonts w:hint="eastAsia" w:ascii="方正楷体_GBK" w:hAnsi="Times New Roman" w:eastAsia="方正楷体_GBK" w:cs="Times New Roman"/>
          <w:b w:val="0"/>
          <w:bCs/>
          <w:color w:val="000000" w:themeColor="text1"/>
          <w:sz w:val="32"/>
          <w:szCs w:val="32"/>
          <w:shd w:val="clear" w:color="auto" w:fill="FDFDFE"/>
          <w14:textFill>
            <w14:solidFill>
              <w14:schemeClr w14:val="tx1"/>
            </w14:solidFill>
          </w14:textFill>
        </w:rPr>
        <w:t>（三）报废管理</w:t>
      </w:r>
    </w:p>
    <w:p w14:paraId="44C423BF">
      <w:pPr>
        <w:keepNext w:val="0"/>
        <w:keepLines w:val="0"/>
        <w:pageBreakBefore w:val="0"/>
        <w:widowControl w:val="0"/>
        <w:kinsoku/>
        <w:wordWrap/>
        <w:overflowPunct/>
        <w:topLinePunct w:val="0"/>
        <w:autoSpaceDE/>
        <w:autoSpaceDN/>
        <w:bidi w:val="0"/>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1.报废条件。对于损坏、过期或无法使用的耗材，应进行报废处理。</w:t>
      </w:r>
    </w:p>
    <w:p w14:paraId="2F52E2B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2.报废流程。报废耗材应提交耗材报废申请，经部门责任领导和所属专业负责人审核签字后进行报废处理，并如实登记（附件4）。危险废弃物应集中存放于危险废弃物存储间，由专业处置单位集中处置，严禁自行处置。</w:t>
      </w:r>
    </w:p>
    <w:p w14:paraId="015DE9AD">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Style w:val="9"/>
          <w:rFonts w:ascii="方正黑体_GBK" w:hAnsi="Times New Roman" w:eastAsia="方正黑体_GBK" w:cs="Times New Roman"/>
          <w:b w:val="0"/>
          <w:bCs/>
          <w:color w:val="000000" w:themeColor="text1"/>
          <w:sz w:val="32"/>
          <w:szCs w:val="32"/>
          <w:shd w:val="clear" w:color="auto" w:fill="FDFDFE"/>
          <w14:textFill>
            <w14:solidFill>
              <w14:schemeClr w14:val="tx1"/>
            </w14:solidFill>
          </w14:textFill>
        </w:rPr>
      </w:pPr>
      <w:r>
        <w:rPr>
          <w:rStyle w:val="9"/>
          <w:rFonts w:ascii="方正黑体_GBK" w:hAnsi="Times New Roman" w:eastAsia="方正黑体_GBK" w:cs="Times New Roman"/>
          <w:b w:val="0"/>
          <w:bCs/>
          <w:color w:val="000000" w:themeColor="text1"/>
          <w:sz w:val="32"/>
          <w:szCs w:val="32"/>
          <w:shd w:val="clear" w:color="auto" w:fill="FDFDFE"/>
          <w14:textFill>
            <w14:solidFill>
              <w14:schemeClr w14:val="tx1"/>
            </w14:solidFill>
          </w14:textFill>
        </w:rPr>
        <w:t>四、监督检查</w:t>
      </w:r>
    </w:p>
    <w:p w14:paraId="3AE6C45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Style w:val="9"/>
          <w:rFonts w:hint="eastAsia" w:ascii="方正楷体_GBK" w:eastAsia="方正楷体_GBK"/>
          <w:b w:val="0"/>
          <w:bCs/>
          <w:color w:val="000000" w:themeColor="text1"/>
          <w:sz w:val="32"/>
          <w:szCs w:val="32"/>
          <w:shd w:val="clear" w:color="auto" w:fill="FDFDFE"/>
          <w14:textFill>
            <w14:solidFill>
              <w14:schemeClr w14:val="tx1"/>
            </w14:solidFill>
          </w14:textFill>
        </w:rPr>
        <w:t>（一）部门自查。</w:t>
      </w:r>
      <w:r>
        <w:rPr>
          <w:rFonts w:ascii="Times New Roman" w:hAnsi="Times New Roman" w:eastAsia="方正仿宋_GBK" w:cs="Times New Roman"/>
          <w:b w:val="0"/>
          <w:bCs/>
          <w:color w:val="000000" w:themeColor="text1"/>
          <w:sz w:val="32"/>
          <w:szCs w:val="32"/>
          <w14:textFill>
            <w14:solidFill>
              <w14:schemeClr w14:val="tx1"/>
            </w14:solidFill>
          </w14:textFill>
        </w:rPr>
        <w:t>各二级学院（部、中心）应定期对耗材的使用和管理情况进行检查，视情况形成月度、季度、年度使用情况报表。</w:t>
      </w:r>
    </w:p>
    <w:p w14:paraId="443FBFA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hint="eastAsia" w:ascii="方正楷体_GBK" w:hAnsi="Times New Roman" w:eastAsia="方正楷体_GBK" w:cs="Times New Roman"/>
          <w:b w:val="0"/>
          <w:bCs/>
          <w:color w:val="000000" w:themeColor="text1"/>
          <w:sz w:val="32"/>
          <w:szCs w:val="32"/>
          <w14:textFill>
            <w14:solidFill>
              <w14:schemeClr w14:val="tx1"/>
            </w14:solidFill>
          </w14:textFill>
        </w:rPr>
        <w:t>（二）学院检查。</w:t>
      </w:r>
      <w:r>
        <w:rPr>
          <w:rFonts w:ascii="Times New Roman" w:hAnsi="Times New Roman" w:eastAsia="方正仿宋_GBK" w:cs="Times New Roman"/>
          <w:b w:val="0"/>
          <w:bCs/>
          <w:color w:val="000000" w:themeColor="text1"/>
          <w:sz w:val="32"/>
          <w:szCs w:val="32"/>
          <w14:textFill>
            <w14:solidFill>
              <w14:schemeClr w14:val="tx1"/>
            </w14:solidFill>
          </w14:textFill>
        </w:rPr>
        <w:t>实验实训中心组织人员定期开展耗材管理情况检查。</w:t>
      </w:r>
    </w:p>
    <w:p w14:paraId="1B3B25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hint="eastAsia" w:ascii="方正楷体_GBK" w:hAnsi="Times New Roman" w:eastAsia="方正楷体_GBK" w:cs="Times New Roman"/>
          <w:b w:val="0"/>
          <w:bCs/>
          <w:color w:val="000000" w:themeColor="text1"/>
          <w:sz w:val="32"/>
          <w:szCs w:val="32"/>
          <w14:textFill>
            <w14:solidFill>
              <w14:schemeClr w14:val="tx1"/>
            </w14:solidFill>
          </w14:textFill>
        </w:rPr>
        <w:t>（三）学院审计部门和上级部门审计检查。</w:t>
      </w:r>
      <w:r>
        <w:rPr>
          <w:rFonts w:ascii="Times New Roman" w:hAnsi="Times New Roman" w:eastAsia="方正仿宋_GBK" w:cs="Times New Roman"/>
          <w:b w:val="0"/>
          <w:bCs/>
          <w:color w:val="000000" w:themeColor="text1"/>
          <w:sz w:val="32"/>
          <w:szCs w:val="32"/>
          <w14:textFill>
            <w14:solidFill>
              <w14:schemeClr w14:val="tx1"/>
            </w14:solidFill>
          </w14:textFill>
        </w:rPr>
        <w:t>各部门应严格规范台账，随时迎接学院审计和上级部门检查。</w:t>
      </w:r>
    </w:p>
    <w:p w14:paraId="1F14C8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hint="eastAsia" w:ascii="方正楷体_GBK" w:hAnsi="Times New Roman" w:eastAsia="方正楷体_GBK" w:cs="Times New Roman"/>
          <w:b w:val="0"/>
          <w:bCs/>
          <w:color w:val="000000" w:themeColor="text1"/>
          <w:sz w:val="32"/>
          <w:szCs w:val="32"/>
          <w14:textFill>
            <w14:solidFill>
              <w14:schemeClr w14:val="tx1"/>
            </w14:solidFill>
          </w14:textFill>
        </w:rPr>
        <w:t>（四）问题处理。</w:t>
      </w:r>
      <w:r>
        <w:rPr>
          <w:rFonts w:ascii="Times New Roman" w:hAnsi="Times New Roman" w:eastAsia="方正仿宋_GBK" w:cs="Times New Roman"/>
          <w:b w:val="0"/>
          <w:bCs/>
          <w:color w:val="000000" w:themeColor="text1"/>
          <w:sz w:val="32"/>
          <w:szCs w:val="32"/>
          <w14:textFill>
            <w14:solidFill>
              <w14:schemeClr w14:val="tx1"/>
            </w14:solidFill>
          </w14:textFill>
        </w:rPr>
        <w:t>对于检查中发现的问题，应立即采取措施进行整改。出现责任事故的，由学院追究相关责任人的责任，并视情节轻重给予相应处理。</w:t>
      </w:r>
    </w:p>
    <w:p w14:paraId="25D3E51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Style w:val="9"/>
          <w:rFonts w:ascii="方正黑体_GBK" w:hAnsi="Times New Roman" w:eastAsia="方正黑体_GBK" w:cs="Times New Roman"/>
          <w:b w:val="0"/>
          <w:bCs/>
          <w:color w:val="000000" w:themeColor="text1"/>
          <w:sz w:val="32"/>
          <w:szCs w:val="32"/>
          <w:shd w:val="clear" w:color="auto" w:fill="FDFDFE"/>
          <w14:textFill>
            <w14:solidFill>
              <w14:schemeClr w14:val="tx1"/>
            </w14:solidFill>
          </w14:textFill>
        </w:rPr>
      </w:pPr>
      <w:r>
        <w:rPr>
          <w:rStyle w:val="9"/>
          <w:rFonts w:ascii="方正黑体_GBK" w:hAnsi="Times New Roman" w:eastAsia="方正黑体_GBK" w:cs="Times New Roman"/>
          <w:b w:val="0"/>
          <w:bCs/>
          <w:color w:val="000000" w:themeColor="text1"/>
          <w:sz w:val="32"/>
          <w:szCs w:val="32"/>
          <w:shd w:val="clear" w:color="auto" w:fill="FDFDFE"/>
          <w14:textFill>
            <w14:solidFill>
              <w14:schemeClr w14:val="tx1"/>
            </w14:solidFill>
          </w14:textFill>
        </w:rPr>
        <w:t>五、其他事项</w:t>
      </w:r>
    </w:p>
    <w:p w14:paraId="301788F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val="0"/>
          <w:bCs/>
          <w:color w:val="000000" w:themeColor="text1"/>
          <w:sz w:val="32"/>
          <w:szCs w:val="32"/>
          <w14:textFill>
            <w14:solidFill>
              <w14:schemeClr w14:val="tx1"/>
            </w14:solidFill>
          </w14:textFill>
        </w:rPr>
      </w:pPr>
      <w:r>
        <w:rPr>
          <w:rFonts w:hint="eastAsia" w:ascii="方正仿宋_GBK" w:hAnsi="方正仿宋_GBK" w:eastAsia="方正仿宋_GBK" w:cs="方正仿宋_GBK"/>
          <w:b w:val="0"/>
          <w:bCs/>
          <w:color w:val="000000" w:themeColor="text1"/>
          <w:sz w:val="32"/>
          <w:szCs w:val="32"/>
          <w14:textFill>
            <w14:solidFill>
              <w14:schemeClr w14:val="tx1"/>
            </w14:solidFill>
          </w14:textFill>
        </w:rPr>
        <w:t>（一）本办法由实验实训中心负责解释。</w:t>
      </w:r>
    </w:p>
    <w:p w14:paraId="4FEAFD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val="0"/>
          <w:bCs/>
          <w:color w:val="000000" w:themeColor="text1"/>
          <w:sz w:val="32"/>
          <w:szCs w:val="32"/>
          <w14:textFill>
            <w14:solidFill>
              <w14:schemeClr w14:val="tx1"/>
            </w14:solidFill>
          </w14:textFill>
        </w:rPr>
      </w:pPr>
      <w:r>
        <w:rPr>
          <w:rFonts w:hint="eastAsia" w:ascii="方正仿宋_GBK" w:hAnsi="方正仿宋_GBK" w:eastAsia="方正仿宋_GBK" w:cs="方正仿宋_GBK"/>
          <w:b w:val="0"/>
          <w:bCs/>
          <w:color w:val="000000" w:themeColor="text1"/>
          <w:sz w:val="32"/>
          <w:szCs w:val="32"/>
          <w14:textFill>
            <w14:solidFill>
              <w14:schemeClr w14:val="tx1"/>
            </w14:solidFill>
          </w14:textFill>
        </w:rPr>
        <w:t>（二）本办法自颁布之日起施行。</w:t>
      </w:r>
    </w:p>
    <w:p w14:paraId="4D9D18D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val="0"/>
          <w:bCs/>
          <w:color w:val="000000" w:themeColor="text1"/>
          <w:sz w:val="32"/>
          <w:szCs w:val="32"/>
          <w14:textFill>
            <w14:solidFill>
              <w14:schemeClr w14:val="tx1"/>
            </w14:solidFill>
          </w14:textFill>
        </w:rPr>
      </w:pPr>
    </w:p>
    <w:p w14:paraId="6C1140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val="0"/>
          <w:bCs/>
          <w:color w:val="000000" w:themeColor="text1"/>
          <w:sz w:val="32"/>
          <w:szCs w:val="32"/>
          <w14:textFill>
            <w14:solidFill>
              <w14:schemeClr w14:val="tx1"/>
            </w14:solidFill>
          </w14:textFill>
        </w:rPr>
      </w:pPr>
    </w:p>
    <w:p w14:paraId="70D993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val="0"/>
          <w:bCs/>
          <w:color w:val="000000" w:themeColor="text1"/>
          <w:sz w:val="32"/>
          <w:szCs w:val="32"/>
          <w14:textFill>
            <w14:solidFill>
              <w14:schemeClr w14:val="tx1"/>
            </w14:solidFill>
          </w14:textFill>
        </w:rPr>
      </w:pPr>
    </w:p>
    <w:p w14:paraId="0A9C2B6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val="0"/>
          <w:bCs/>
          <w:color w:val="000000" w:themeColor="text1"/>
          <w:sz w:val="32"/>
          <w:szCs w:val="32"/>
          <w14:textFill>
            <w14:solidFill>
              <w14:schemeClr w14:val="tx1"/>
            </w14:solidFill>
          </w14:textFill>
        </w:rPr>
      </w:pPr>
    </w:p>
    <w:p w14:paraId="14A3AF8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val="0"/>
          <w:bCs/>
          <w:color w:val="000000" w:themeColor="text1"/>
          <w:sz w:val="32"/>
          <w:szCs w:val="32"/>
          <w14:textFill>
            <w14:solidFill>
              <w14:schemeClr w14:val="tx1"/>
            </w14:solidFill>
          </w14:textFill>
        </w:rPr>
      </w:pPr>
    </w:p>
    <w:p w14:paraId="497F56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附件</w:t>
      </w:r>
      <w:r>
        <w:rPr>
          <w:rFonts w:hint="eastAsia" w:ascii="Times New Roman" w:hAnsi="Times New Roman" w:eastAsia="方正仿宋_GBK" w:cs="Times New Roman"/>
          <w:b w:val="0"/>
          <w:bCs/>
          <w:color w:val="000000" w:themeColor="text1"/>
          <w:sz w:val="32"/>
          <w:szCs w:val="32"/>
          <w:lang w:eastAsia="zh-CN"/>
          <w14:textFill>
            <w14:solidFill>
              <w14:schemeClr w14:val="tx1"/>
            </w14:solidFill>
          </w14:textFill>
        </w:rPr>
        <w:t>：</w:t>
      </w:r>
      <w:r>
        <w:rPr>
          <w:rFonts w:ascii="Times New Roman" w:hAnsi="Times New Roman" w:eastAsia="方正仿宋_GBK" w:cs="Times New Roman"/>
          <w:b w:val="0"/>
          <w:bCs/>
          <w:color w:val="000000" w:themeColor="text1"/>
          <w:sz w:val="32"/>
          <w:szCs w:val="32"/>
          <w14:textFill>
            <w14:solidFill>
              <w14:schemeClr w14:val="tx1"/>
            </w14:solidFill>
          </w14:textFill>
        </w:rPr>
        <w:t>1</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w:t>
      </w:r>
      <w:r>
        <w:rPr>
          <w:rFonts w:ascii="Times New Roman" w:hAnsi="Times New Roman" w:eastAsia="方正仿宋_GBK" w:cs="Times New Roman"/>
          <w:b w:val="0"/>
          <w:bCs/>
          <w:color w:val="000000" w:themeColor="text1"/>
          <w:sz w:val="32"/>
          <w:szCs w:val="32"/>
          <w14:textFill>
            <w14:solidFill>
              <w14:schemeClr w14:val="tx1"/>
            </w14:solidFill>
          </w14:textFill>
        </w:rPr>
        <w:t>实验实训耗材入库登记表</w:t>
      </w:r>
    </w:p>
    <w:p w14:paraId="0F0B1E25">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2</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w:t>
      </w:r>
      <w:r>
        <w:rPr>
          <w:rFonts w:ascii="Times New Roman" w:hAnsi="Times New Roman" w:eastAsia="方正仿宋_GBK" w:cs="Times New Roman"/>
          <w:b w:val="0"/>
          <w:bCs/>
          <w:color w:val="000000" w:themeColor="text1"/>
          <w:sz w:val="32"/>
          <w:szCs w:val="32"/>
          <w14:textFill>
            <w14:solidFill>
              <w14:schemeClr w14:val="tx1"/>
            </w14:solidFill>
          </w14:textFill>
        </w:rPr>
        <w:t>实验实训耗材领用登记表</w:t>
      </w:r>
    </w:p>
    <w:p w14:paraId="3B53EEF2">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ascii="Times New Roman" w:hAnsi="Times New Roman" w:eastAsia="方正仿宋_GBK" w:cs="Times New Roman"/>
          <w:b w:val="0"/>
          <w:bCs/>
          <w:color w:val="000000" w:themeColor="text1"/>
          <w:sz w:val="32"/>
          <w:szCs w:val="32"/>
          <w14:textFill>
            <w14:solidFill>
              <w14:schemeClr w14:val="tx1"/>
            </w14:solidFill>
          </w14:textFill>
        </w:rPr>
        <w:t>3</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w:t>
      </w:r>
      <w:r>
        <w:rPr>
          <w:rFonts w:ascii="Times New Roman" w:hAnsi="Times New Roman" w:eastAsia="方正仿宋_GBK" w:cs="Times New Roman"/>
          <w:b w:val="0"/>
          <w:bCs/>
          <w:color w:val="000000" w:themeColor="text1"/>
          <w:sz w:val="32"/>
          <w:szCs w:val="32"/>
          <w14:textFill>
            <w14:solidFill>
              <w14:schemeClr w14:val="tx1"/>
            </w14:solidFill>
          </w14:textFill>
        </w:rPr>
        <w:t>实验实训耗材使用记录表</w:t>
      </w:r>
    </w:p>
    <w:p w14:paraId="2ECE80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Times New Roman" w:hAnsi="Times New Roman" w:eastAsia="方正仿宋_GBK" w:cs="Times New Roman"/>
          <w:b w:val="0"/>
          <w:bCs/>
          <w:color w:val="000000" w:themeColor="text1"/>
          <w:sz w:val="32"/>
          <w:szCs w:val="32"/>
          <w14:textFill>
            <w14:solidFill>
              <w14:schemeClr w14:val="tx1"/>
            </w14:solidFill>
          </w14:textFill>
        </w:rPr>
      </w:pP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 xml:space="preserve">      </w:t>
      </w:r>
      <w:r>
        <w:rPr>
          <w:rFonts w:ascii="Times New Roman" w:hAnsi="Times New Roman" w:eastAsia="方正仿宋_GBK" w:cs="Times New Roman"/>
          <w:b w:val="0"/>
          <w:bCs/>
          <w:color w:val="000000" w:themeColor="text1"/>
          <w:sz w:val="32"/>
          <w:szCs w:val="32"/>
          <w14:textFill>
            <w14:solidFill>
              <w14:schemeClr w14:val="tx1"/>
            </w14:solidFill>
          </w14:textFill>
        </w:rPr>
        <w:t>4</w:t>
      </w: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w:t>
      </w:r>
      <w:r>
        <w:rPr>
          <w:rFonts w:ascii="Times New Roman" w:hAnsi="Times New Roman" w:eastAsia="方正仿宋_GBK" w:cs="Times New Roman"/>
          <w:b w:val="0"/>
          <w:bCs/>
          <w:color w:val="000000" w:themeColor="text1"/>
          <w:sz w:val="32"/>
          <w:szCs w:val="32"/>
          <w14:textFill>
            <w14:solidFill>
              <w14:schemeClr w14:val="tx1"/>
            </w14:solidFill>
          </w14:textFill>
        </w:rPr>
        <w:t>实验实训耗材报废登记表</w:t>
      </w:r>
    </w:p>
    <w:p w14:paraId="36316199">
      <w:pPr>
        <w:keepNext w:val="0"/>
        <w:keepLines w:val="0"/>
        <w:pageBreakBefore w:val="0"/>
        <w:widowControl w:val="0"/>
        <w:kinsoku/>
        <w:wordWrap/>
        <w:overflowPunct/>
        <w:topLinePunct w:val="0"/>
        <w:autoSpaceDE/>
        <w:autoSpaceDN/>
        <w:bidi w:val="0"/>
        <w:adjustRightInd/>
        <w:snapToGrid/>
        <w:spacing w:line="560" w:lineRule="exact"/>
        <w:ind w:firstLine="1600" w:firstLineChars="500"/>
        <w:textAlignment w:val="auto"/>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pPr>
      <w:r>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t>5.采购申请模板</w:t>
      </w:r>
    </w:p>
    <w:p w14:paraId="31712FE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b w:val="0"/>
          <w:bCs/>
          <w:color w:val="000000" w:themeColor="text1"/>
          <w:sz w:val="32"/>
          <w:szCs w:val="32"/>
          <w14:textFill>
            <w14:solidFill>
              <w14:schemeClr w14:val="tx1"/>
            </w14:solidFill>
          </w14:textFill>
        </w:rPr>
      </w:pPr>
      <w:bookmarkStart w:id="0" w:name="_GoBack"/>
      <w:bookmarkEnd w:id="0"/>
    </w:p>
    <w:p w14:paraId="7AE6F070">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Times New Roman" w:hAnsi="Times New Roman" w:eastAsia="方正仿宋_GBK" w:cs="Times New Roman"/>
          <w:b w:val="0"/>
          <w:bCs/>
          <w:color w:val="000000" w:themeColor="text1"/>
          <w:sz w:val="32"/>
          <w:szCs w:val="32"/>
          <w:lang w:val="en-US" w:eastAsia="zh-CN"/>
          <w14:textFill>
            <w14:solidFill>
              <w14:schemeClr w14:val="tx1"/>
            </w14:solidFill>
          </w14:textFill>
        </w:rPr>
      </w:pPr>
    </w:p>
    <w:sectPr>
      <w:footerReference r:id="rId5" w:type="default"/>
      <w:pgSz w:w="11906" w:h="16838"/>
      <w:pgMar w:top="2098" w:right="1417" w:bottom="1701" w:left="1587"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DokChampa">
    <w:altName w:val="Segoe Print"/>
    <w:panose1 w:val="020B0604020202020204"/>
    <w:charset w:val="00"/>
    <w:family w:val="swiss"/>
    <w:pitch w:val="default"/>
    <w:sig w:usb0="00000000" w:usb1="00000000" w:usb2="00000000" w:usb3="00000000" w:csb0="00010001" w:csb1="00000000"/>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swiss"/>
    <w:pitch w:val="default"/>
    <w:sig w:usb0="00000000" w:usb1="00000000" w:usb2="0000003F" w:usb3="00000000" w:csb0="003F01FF" w:csb1="00000000"/>
  </w:font>
  <w:font w:name="方正仿宋_GBK">
    <w:panose1 w:val="03000509000000000000"/>
    <w:charset w:val="86"/>
    <w:family w:val="script"/>
    <w:pitch w:val="default"/>
    <w:sig w:usb0="00000001" w:usb1="080E0000" w:usb2="00000000" w:usb3="00000000" w:csb0="00040000" w:csb1="00000000"/>
    <w:embedRegular r:id="rId1" w:fontKey="{297D29DF-9EC1-4E68-905B-E75E754DDD50}"/>
  </w:font>
  <w:font w:name="方正小标宋_GBK">
    <w:panose1 w:val="03000509000000000000"/>
    <w:charset w:val="86"/>
    <w:family w:val="script"/>
    <w:pitch w:val="default"/>
    <w:sig w:usb0="00000001" w:usb1="080E0000" w:usb2="00000000" w:usb3="00000000" w:csb0="00040000" w:csb1="00000000"/>
    <w:embedRegular r:id="rId2" w:fontKey="{4443151E-DCB9-4976-A1E0-6F4E4ECBA153}"/>
  </w:font>
  <w:font w:name="方正黑体_GBK">
    <w:panose1 w:val="03000509000000000000"/>
    <w:charset w:val="86"/>
    <w:family w:val="script"/>
    <w:pitch w:val="default"/>
    <w:sig w:usb0="00000001" w:usb1="080E0000" w:usb2="00000000" w:usb3="00000000" w:csb0="00040000" w:csb1="00000000"/>
    <w:embedRegular r:id="rId3" w:fontKey="{7D3248CC-8906-4050-BC91-BAE6901DC10D}"/>
  </w:font>
  <w:font w:name="方正楷体_GBK">
    <w:panose1 w:val="02000000000000000000"/>
    <w:charset w:val="86"/>
    <w:family w:val="script"/>
    <w:pitch w:val="default"/>
    <w:sig w:usb0="00000001" w:usb1="080E0000" w:usb2="00000000" w:usb3="00000000" w:csb0="00040000" w:csb1="00000000"/>
    <w:embedRegular r:id="rId4" w:fontKey="{A18659F0-7DA5-4847-A4A3-A2DCE5EFEA8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8E6AA">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13C725">
                          <w:pPr>
                            <w:pStyle w:val="3"/>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813C725">
                    <w:pPr>
                      <w:pStyle w:val="3"/>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  \* MERGEFORMAT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w:t>
                    </w:r>
                    <w:r>
                      <w:rPr>
                        <w:rFonts w:hint="eastAsia" w:ascii="方正仿宋_GBK" w:hAnsi="方正仿宋_GBK" w:eastAsia="方正仿宋_GBK" w:cs="方正仿宋_GBK"/>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148"/>
    <w:rsid w:val="000A199A"/>
    <w:rsid w:val="000A543B"/>
    <w:rsid w:val="00106A95"/>
    <w:rsid w:val="00192FAB"/>
    <w:rsid w:val="001F2236"/>
    <w:rsid w:val="00213924"/>
    <w:rsid w:val="002675A2"/>
    <w:rsid w:val="00296538"/>
    <w:rsid w:val="002A0915"/>
    <w:rsid w:val="003F1827"/>
    <w:rsid w:val="00455DE9"/>
    <w:rsid w:val="00473EF5"/>
    <w:rsid w:val="004A68EC"/>
    <w:rsid w:val="0052308E"/>
    <w:rsid w:val="005B4BF9"/>
    <w:rsid w:val="0060289D"/>
    <w:rsid w:val="00645361"/>
    <w:rsid w:val="00655AFB"/>
    <w:rsid w:val="006D5C3F"/>
    <w:rsid w:val="006F1716"/>
    <w:rsid w:val="00763D10"/>
    <w:rsid w:val="00775999"/>
    <w:rsid w:val="007E26AD"/>
    <w:rsid w:val="00805ED6"/>
    <w:rsid w:val="00872D3E"/>
    <w:rsid w:val="008A7448"/>
    <w:rsid w:val="008E2899"/>
    <w:rsid w:val="008E2BDB"/>
    <w:rsid w:val="009A02B3"/>
    <w:rsid w:val="00A3244C"/>
    <w:rsid w:val="00A51E0D"/>
    <w:rsid w:val="00AA43BE"/>
    <w:rsid w:val="00AC25F5"/>
    <w:rsid w:val="00B14429"/>
    <w:rsid w:val="00BC1148"/>
    <w:rsid w:val="00C15D0F"/>
    <w:rsid w:val="00C641D2"/>
    <w:rsid w:val="00C71E41"/>
    <w:rsid w:val="00C72D9C"/>
    <w:rsid w:val="00CA0034"/>
    <w:rsid w:val="00CB6E20"/>
    <w:rsid w:val="00CD5630"/>
    <w:rsid w:val="00DC6182"/>
    <w:rsid w:val="00E376B9"/>
    <w:rsid w:val="00F614A6"/>
    <w:rsid w:val="00FE3AF2"/>
    <w:rsid w:val="08C7053D"/>
    <w:rsid w:val="0AA96831"/>
    <w:rsid w:val="10343BF8"/>
    <w:rsid w:val="12D50F5C"/>
    <w:rsid w:val="134578A4"/>
    <w:rsid w:val="15520D96"/>
    <w:rsid w:val="16AA1921"/>
    <w:rsid w:val="18FA3DCE"/>
    <w:rsid w:val="1B680619"/>
    <w:rsid w:val="1D475059"/>
    <w:rsid w:val="1F7B4E28"/>
    <w:rsid w:val="269B2C6F"/>
    <w:rsid w:val="27221738"/>
    <w:rsid w:val="27B92042"/>
    <w:rsid w:val="2E3356AF"/>
    <w:rsid w:val="2FD933F6"/>
    <w:rsid w:val="3038011D"/>
    <w:rsid w:val="32402BEE"/>
    <w:rsid w:val="34302C60"/>
    <w:rsid w:val="344F012B"/>
    <w:rsid w:val="36FC6348"/>
    <w:rsid w:val="378F51B7"/>
    <w:rsid w:val="396E1053"/>
    <w:rsid w:val="3A533E85"/>
    <w:rsid w:val="3BFE6E81"/>
    <w:rsid w:val="3C002FFF"/>
    <w:rsid w:val="3E9974E4"/>
    <w:rsid w:val="420A43B4"/>
    <w:rsid w:val="455827B0"/>
    <w:rsid w:val="460A5678"/>
    <w:rsid w:val="46612C1C"/>
    <w:rsid w:val="4A7E443C"/>
    <w:rsid w:val="4B5443DC"/>
    <w:rsid w:val="51752B27"/>
    <w:rsid w:val="54B449F1"/>
    <w:rsid w:val="55652EB2"/>
    <w:rsid w:val="57003F9B"/>
    <w:rsid w:val="5BA3445B"/>
    <w:rsid w:val="600F2399"/>
    <w:rsid w:val="62E706F2"/>
    <w:rsid w:val="645D64D4"/>
    <w:rsid w:val="65B00232"/>
    <w:rsid w:val="68AF32AA"/>
    <w:rsid w:val="6AF418B0"/>
    <w:rsid w:val="6B010AA4"/>
    <w:rsid w:val="6B1945C2"/>
    <w:rsid w:val="7126732E"/>
    <w:rsid w:val="725A6A85"/>
    <w:rsid w:val="7487462F"/>
    <w:rsid w:val="74C01A5C"/>
    <w:rsid w:val="7741322A"/>
    <w:rsid w:val="79E37C4A"/>
    <w:rsid w:val="7CC67FFC"/>
    <w:rsid w:val="7EBB27AA"/>
    <w:rsid w:val="7F777DF7"/>
  </w:rsids>
  <m:mathPr>
    <m:mathFont m:val="Cambria Math"/>
    <m:brkBin m:val="before"/>
    <m:brkBinSub m:val="--"/>
    <m:smallFrac m:val="0"/>
    <m:dispDef/>
    <m:lMargin m:val="0"/>
    <m:rMargin m:val="0"/>
    <m:defJc m:val="centerGroup"/>
    <m:wrapIndent m:val="1440"/>
    <m:intLim m:val="subSup"/>
    <m:naryLim m:val="undOvr"/>
  </m:mathPr>
  <w:themeFontLang w:val="en-US" w:eastAsia="zh-CN" w:bidi="lo-LA"/>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Autospacing="1" w:afterAutospacing="1"/>
      <w:jc w:val="left"/>
      <w:outlineLvl w:val="2"/>
    </w:pPr>
    <w:rPr>
      <w:rFonts w:hint="eastAsia" w:ascii="宋体" w:hAnsi="宋体" w:eastAsia="宋体" w:cs="Arial Unicode MS"/>
      <w:b/>
      <w:bCs/>
      <w:kern w:val="0"/>
      <w:sz w:val="27"/>
      <w:szCs w:val="27"/>
      <w:lang w:bidi="lo-L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4"/>
    <w:qFormat/>
    <w:uiPriority w:val="0"/>
    <w:pPr>
      <w:tabs>
        <w:tab w:val="center" w:pos="4153"/>
        <w:tab w:val="right" w:pos="8306"/>
      </w:tabs>
      <w:snapToGrid w:val="0"/>
      <w:jc w:val="left"/>
    </w:pPr>
    <w:rPr>
      <w:sz w:val="18"/>
      <w:szCs w:val="18"/>
    </w:rPr>
  </w:style>
  <w:style w:type="paragraph" w:styleId="4">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Autospacing="1" w:afterAutospacing="1"/>
      <w:jc w:val="left"/>
    </w:pPr>
    <w:rPr>
      <w:rFonts w:cs="Arial Unicode MS"/>
      <w:kern w:val="0"/>
      <w:sz w:val="24"/>
      <w:lang w:bidi="lo-LA"/>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bCs/>
    </w:rPr>
  </w:style>
  <w:style w:type="paragraph" w:customStyle="1" w:styleId="10">
    <w:name w:val="图目录"/>
    <w:basedOn w:val="1"/>
    <w:qFormat/>
    <w:uiPriority w:val="0"/>
    <w:pPr>
      <w:topLinePunct/>
      <w:spacing w:line="360" w:lineRule="auto"/>
      <w:jc w:val="center"/>
      <w:outlineLvl w:val="4"/>
    </w:pPr>
    <w:rPr>
      <w:rFonts w:ascii="Times New Roman" w:hAnsi="Times New Roman" w:eastAsia="宋体"/>
      <w:color w:val="000000" w:themeColor="text1"/>
      <w14:textFill>
        <w14:solidFill>
          <w14:schemeClr w14:val="tx1"/>
        </w14:solidFill>
      </w14:textFill>
    </w:rPr>
  </w:style>
  <w:style w:type="paragraph" w:customStyle="1" w:styleId="11">
    <w:name w:val="表目录"/>
    <w:basedOn w:val="1"/>
    <w:qFormat/>
    <w:uiPriority w:val="0"/>
    <w:pPr>
      <w:keepNext/>
      <w:topLinePunct/>
      <w:spacing w:line="360" w:lineRule="auto"/>
      <w:jc w:val="center"/>
      <w:outlineLvl w:val="5"/>
    </w:pPr>
    <w:rPr>
      <w:rFonts w:ascii="Times New Roman" w:hAnsi="Times New Roman" w:eastAsia="宋体"/>
      <w:color w:val="000000" w:themeColor="text1"/>
      <w14:textFill>
        <w14:solidFill>
          <w14:schemeClr w14:val="tx1"/>
        </w14:solidFill>
      </w14:textFill>
    </w:rPr>
  </w:style>
  <w:style w:type="paragraph" w:customStyle="1" w:styleId="12">
    <w:name w:val="a1"/>
    <w:basedOn w:val="1"/>
    <w:qFormat/>
    <w:uiPriority w:val="0"/>
    <w:pPr>
      <w:widowControl/>
      <w:spacing w:before="100" w:beforeAutospacing="1" w:after="100" w:afterAutospacing="1" w:line="288" w:lineRule="auto"/>
      <w:jc w:val="left"/>
    </w:pPr>
    <w:rPr>
      <w:rFonts w:ascii="宋体" w:hAnsi="宋体"/>
      <w:color w:val="333333"/>
      <w:kern w:val="0"/>
      <w:sz w:val="18"/>
      <w:szCs w:val="18"/>
    </w:rPr>
  </w:style>
  <w:style w:type="character" w:customStyle="1" w:styleId="13">
    <w:name w:val="页眉 Char"/>
    <w:basedOn w:val="8"/>
    <w:link w:val="4"/>
    <w:qFormat/>
    <w:uiPriority w:val="0"/>
    <w:rPr>
      <w:rFonts w:asciiTheme="minorHAnsi" w:hAnsiTheme="minorHAnsi" w:eastAsiaTheme="minorEastAsia" w:cstheme="minorBidi"/>
      <w:kern w:val="2"/>
      <w:sz w:val="18"/>
      <w:szCs w:val="18"/>
      <w:lang w:bidi="ar-SA"/>
    </w:rPr>
  </w:style>
  <w:style w:type="character" w:customStyle="1" w:styleId="14">
    <w:name w:val="页脚 Char"/>
    <w:basedOn w:val="8"/>
    <w:link w:val="3"/>
    <w:qFormat/>
    <w:uiPriority w:val="0"/>
    <w:rPr>
      <w:rFonts w:asciiTheme="minorHAnsi" w:hAnsiTheme="minorHAnsi" w:eastAsiaTheme="minorEastAsia" w:cstheme="minorBidi"/>
      <w:kern w:val="2"/>
      <w:sz w:val="18"/>
      <w:szCs w:val="18"/>
      <w:lang w:bidi="ar-SA"/>
    </w:rPr>
  </w:style>
  <w:style w:type="character" w:customStyle="1" w:styleId="15">
    <w:name w:val="font81"/>
    <w:basedOn w:val="8"/>
    <w:qFormat/>
    <w:uiPriority w:val="0"/>
    <w:rPr>
      <w:rFonts w:ascii="方正仿宋_GBK" w:hAnsi="方正仿宋_GBK" w:eastAsia="方正仿宋_GBK" w:cs="方正仿宋_GBK"/>
      <w:color w:val="000000"/>
      <w:sz w:val="28"/>
      <w:szCs w:val="28"/>
      <w:u w:val="none"/>
    </w:rPr>
  </w:style>
  <w:style w:type="character" w:customStyle="1" w:styleId="16">
    <w:name w:val="font112"/>
    <w:basedOn w:val="8"/>
    <w:qFormat/>
    <w:uiPriority w:val="0"/>
    <w:rPr>
      <w:rFonts w:hint="eastAsia" w:ascii="方正仿宋_GBK" w:hAnsi="方正仿宋_GBK" w:eastAsia="方正仿宋_GBK" w:cs="方正仿宋_GBK"/>
      <w:color w:val="000000"/>
      <w:sz w:val="28"/>
      <w:szCs w:val="28"/>
      <w:u w:val="none"/>
    </w:rPr>
  </w:style>
  <w:style w:type="character" w:customStyle="1" w:styleId="17">
    <w:name w:val="font91"/>
    <w:basedOn w:val="8"/>
    <w:qFormat/>
    <w:uiPriority w:val="0"/>
    <w:rPr>
      <w:rFonts w:hint="eastAsia" w:ascii="方正仿宋_GBK" w:hAnsi="方正仿宋_GBK" w:eastAsia="方正仿宋_GBK" w:cs="方正仿宋_GBK"/>
      <w:color w:val="000000"/>
      <w:sz w:val="24"/>
      <w:szCs w:val="24"/>
      <w:u w:val="none"/>
    </w:rPr>
  </w:style>
  <w:style w:type="character" w:customStyle="1" w:styleId="18">
    <w:name w:val="font101"/>
    <w:basedOn w:val="8"/>
    <w:qFormat/>
    <w:uiPriority w:val="0"/>
    <w:rPr>
      <w:rFonts w:hint="eastAsia" w:ascii="方正仿宋_GBK" w:hAnsi="方正仿宋_GBK" w:eastAsia="方正仿宋_GBK" w:cs="方正仿宋_GBK"/>
      <w:color w:val="000000"/>
      <w:sz w:val="24"/>
      <w:szCs w:val="24"/>
      <w:u w:val="none"/>
    </w:rPr>
  </w:style>
  <w:style w:type="character" w:customStyle="1" w:styleId="19">
    <w:name w:val="font61"/>
    <w:basedOn w:val="8"/>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916D5E9-D73C-476D-B9CE-33886DB632C7}">
  <ds:schemaRefs/>
</ds:datastoreItem>
</file>

<file path=docProps/app.xml><?xml version="1.0" encoding="utf-8"?>
<Properties xmlns="http://schemas.openxmlformats.org/officeDocument/2006/extended-properties" xmlns:vt="http://schemas.openxmlformats.org/officeDocument/2006/docPropsVTypes">
  <Template>Normal</Template>
  <Pages>6</Pages>
  <Words>2418</Words>
  <Characters>2437</Characters>
  <Lines>17</Lines>
  <Paragraphs>4</Paragraphs>
  <TotalTime>2</TotalTime>
  <ScaleCrop>false</ScaleCrop>
  <LinksUpToDate>false</LinksUpToDate>
  <CharactersWithSpaces>2443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2025-05-29T04:13:00Z</dcterms:created>
  <dc:creator>黄满昌</dc:creator>
  <cp:lastModifiedBy>DDDwow~Yj</cp:lastModifiedBy>
  <dcterms:modified xsi:type="dcterms:W3CDTF">2026-04-29T07:51:32Z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2302EE4206534B50B03FDA0F86FCF181_13</vt:lpwstr>
  </property>
  <property fmtid="{D5CDD505-2E9C-101B-9397-08002B2CF9AE}" pid="4" name="KSOTemplateDocerSaveRecord">
    <vt:lpwstr>eyJoZGlkIjoiMWNjMThjYWZlZjI2M2I2NmMxMWRhMDM3NGU0MjU0ZTQiLCJ1c2VySWQiOiI1MzIzOTY2MjUifQ==</vt:lpwstr>
  </property>
</Properties>
</file>